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D1A70B" w14:textId="711C0029" w:rsidR="00104B7A" w:rsidRPr="008145B6" w:rsidRDefault="00464976" w:rsidP="008145B6">
      <w:pPr>
        <w:pStyle w:val="Heading1"/>
        <w:spacing w:line="360" w:lineRule="auto"/>
        <w:jc w:val="center"/>
        <w:rPr>
          <w:rFonts w:cstheme="majorHAnsi"/>
          <w:sz w:val="32"/>
          <w:szCs w:val="32"/>
          <w:u w:val="single"/>
        </w:rPr>
      </w:pPr>
      <w:r w:rsidRPr="008145B6">
        <w:rPr>
          <w:rFonts w:cstheme="majorHAnsi"/>
          <w:sz w:val="32"/>
          <w:szCs w:val="32"/>
          <w:u w:val="single"/>
        </w:rPr>
        <w:t>Key Performance Indicators (KPIs)</w:t>
      </w:r>
    </w:p>
    <w:p w14:paraId="52021F98" w14:textId="77777777" w:rsidR="00104B7A" w:rsidRPr="008145B6" w:rsidRDefault="00464976" w:rsidP="008145B6">
      <w:pPr>
        <w:spacing w:line="360" w:lineRule="auto"/>
        <w:jc w:val="center"/>
        <w:rPr>
          <w:rFonts w:asciiTheme="majorHAnsi" w:hAnsiTheme="majorHAnsi" w:cstheme="majorHAnsi"/>
          <w:b/>
          <w:bCs/>
          <w:sz w:val="24"/>
          <w:szCs w:val="24"/>
        </w:rPr>
      </w:pPr>
      <w:r w:rsidRPr="008145B6">
        <w:rPr>
          <w:rFonts w:asciiTheme="majorHAnsi" w:hAnsiTheme="majorHAnsi" w:cstheme="majorHAnsi"/>
          <w:b/>
          <w:bCs/>
          <w:sz w:val="24"/>
          <w:szCs w:val="24"/>
        </w:rPr>
        <w:t>Sketty Mosque and Community Centre – Renewable Energy Upgrade Tender</w:t>
      </w:r>
    </w:p>
    <w:p w14:paraId="3682F8D0" w14:textId="77777777" w:rsidR="00104B7A" w:rsidRPr="008145B6" w:rsidRDefault="00464976" w:rsidP="008145B6">
      <w:pPr>
        <w:pStyle w:val="Heading2"/>
        <w:spacing w:line="360" w:lineRule="auto"/>
        <w:rPr>
          <w:rFonts w:cstheme="majorHAnsi"/>
          <w:sz w:val="28"/>
          <w:szCs w:val="28"/>
        </w:rPr>
      </w:pPr>
      <w:r w:rsidRPr="008145B6">
        <w:rPr>
          <w:rFonts w:cstheme="majorHAnsi"/>
          <w:sz w:val="28"/>
          <w:szCs w:val="28"/>
        </w:rPr>
        <w:t>1. Introduction</w:t>
      </w:r>
    </w:p>
    <w:p w14:paraId="5990214C" w14:textId="77777777" w:rsidR="00104B7A" w:rsidRPr="00464976" w:rsidRDefault="00464976" w:rsidP="008145B6">
      <w:pPr>
        <w:spacing w:line="360" w:lineRule="auto"/>
        <w:rPr>
          <w:rFonts w:asciiTheme="majorHAnsi" w:hAnsiTheme="majorHAnsi" w:cstheme="majorHAnsi"/>
          <w:sz w:val="24"/>
          <w:szCs w:val="24"/>
        </w:rPr>
      </w:pPr>
      <w:r w:rsidRPr="00464976">
        <w:rPr>
          <w:rFonts w:asciiTheme="majorHAnsi" w:hAnsiTheme="majorHAnsi" w:cstheme="majorHAnsi"/>
          <w:sz w:val="24"/>
          <w:szCs w:val="24"/>
        </w:rPr>
        <w:t>This KPI framework outlines the performance expectations for the successful contractor delivering the supply and fit of renewable energy systems at Sketty Mosque and Community Centre. KPIs will be used to monitor progress, ensure quality, and maintain accountability throughout the contract duration.</w:t>
      </w:r>
    </w:p>
    <w:p w14:paraId="095A435E" w14:textId="77777777" w:rsidR="00104B7A" w:rsidRPr="00EB633F" w:rsidRDefault="00464976" w:rsidP="008145B6">
      <w:pPr>
        <w:pStyle w:val="Heading2"/>
        <w:spacing w:line="360" w:lineRule="auto"/>
        <w:rPr>
          <w:rFonts w:cstheme="majorHAnsi"/>
          <w:sz w:val="28"/>
          <w:szCs w:val="28"/>
        </w:rPr>
      </w:pPr>
      <w:r w:rsidRPr="00EB633F">
        <w:rPr>
          <w:rFonts w:cstheme="majorHAnsi"/>
          <w:sz w:val="28"/>
          <w:szCs w:val="28"/>
        </w:rPr>
        <w:t>2. Key Performance Indicators</w:t>
      </w:r>
    </w:p>
    <w:tbl>
      <w:tblPr>
        <w:tblStyle w:val="GridTable4"/>
        <w:tblW w:w="0" w:type="auto"/>
        <w:tblLook w:val="04A0" w:firstRow="1" w:lastRow="0" w:firstColumn="1" w:lastColumn="0" w:noHBand="0" w:noVBand="1"/>
      </w:tblPr>
      <w:tblGrid>
        <w:gridCol w:w="2877"/>
        <w:gridCol w:w="2877"/>
        <w:gridCol w:w="2876"/>
      </w:tblGrid>
      <w:tr w:rsidR="00104B7A" w:rsidRPr="008145B6" w14:paraId="7526687E" w14:textId="77777777" w:rsidTr="00C3485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66D7300F" w14:textId="77777777" w:rsidR="00104B7A" w:rsidRPr="00464976" w:rsidRDefault="00464976" w:rsidP="008145B6">
            <w:pPr>
              <w:spacing w:line="360" w:lineRule="auto"/>
              <w:rPr>
                <w:rFonts w:asciiTheme="majorHAnsi" w:hAnsiTheme="majorHAnsi" w:cstheme="majorHAnsi"/>
                <w:sz w:val="24"/>
                <w:szCs w:val="24"/>
              </w:rPr>
            </w:pPr>
            <w:r w:rsidRPr="00464976">
              <w:rPr>
                <w:rFonts w:asciiTheme="majorHAnsi" w:hAnsiTheme="majorHAnsi" w:cstheme="majorHAnsi"/>
                <w:sz w:val="24"/>
                <w:szCs w:val="24"/>
              </w:rPr>
              <w:t>KPI Area</w:t>
            </w:r>
          </w:p>
        </w:tc>
        <w:tc>
          <w:tcPr>
            <w:tcW w:w="2880" w:type="dxa"/>
          </w:tcPr>
          <w:p w14:paraId="685B9127" w14:textId="77777777" w:rsidR="00104B7A" w:rsidRPr="00464976" w:rsidRDefault="00464976" w:rsidP="008145B6">
            <w:pPr>
              <w:spacing w:line="360" w:lineRule="auto"/>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sidRPr="00464976">
              <w:rPr>
                <w:rFonts w:asciiTheme="majorHAnsi" w:hAnsiTheme="majorHAnsi" w:cstheme="majorHAnsi"/>
                <w:sz w:val="24"/>
                <w:szCs w:val="24"/>
              </w:rPr>
              <w:t>Performance Indicator</w:t>
            </w:r>
          </w:p>
        </w:tc>
        <w:tc>
          <w:tcPr>
            <w:tcW w:w="2880" w:type="dxa"/>
          </w:tcPr>
          <w:p w14:paraId="1BDC7FFA" w14:textId="77777777" w:rsidR="00104B7A" w:rsidRPr="00464976" w:rsidRDefault="00464976" w:rsidP="008145B6">
            <w:pPr>
              <w:spacing w:line="360" w:lineRule="auto"/>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sidRPr="00464976">
              <w:rPr>
                <w:rFonts w:asciiTheme="majorHAnsi" w:hAnsiTheme="majorHAnsi" w:cstheme="majorHAnsi"/>
                <w:sz w:val="24"/>
                <w:szCs w:val="24"/>
              </w:rPr>
              <w:t>Target / Threshold</w:t>
            </w:r>
          </w:p>
        </w:tc>
      </w:tr>
      <w:tr w:rsidR="00104B7A" w:rsidRPr="008145B6" w14:paraId="718ACA94" w14:textId="77777777" w:rsidTr="00C348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5D839F56" w14:textId="77777777" w:rsidR="00104B7A" w:rsidRPr="00464976" w:rsidRDefault="00464976" w:rsidP="008145B6">
            <w:pPr>
              <w:spacing w:line="360" w:lineRule="auto"/>
              <w:rPr>
                <w:rFonts w:asciiTheme="majorHAnsi" w:hAnsiTheme="majorHAnsi" w:cstheme="majorHAnsi"/>
                <w:sz w:val="24"/>
                <w:szCs w:val="24"/>
              </w:rPr>
            </w:pPr>
            <w:r w:rsidRPr="00464976">
              <w:rPr>
                <w:rFonts w:asciiTheme="majorHAnsi" w:hAnsiTheme="majorHAnsi" w:cstheme="majorHAnsi"/>
                <w:sz w:val="24"/>
                <w:szCs w:val="24"/>
              </w:rPr>
              <w:t>Installation Quality</w:t>
            </w:r>
          </w:p>
        </w:tc>
        <w:tc>
          <w:tcPr>
            <w:tcW w:w="2880" w:type="dxa"/>
          </w:tcPr>
          <w:p w14:paraId="1D847FEF" w14:textId="77777777" w:rsidR="00104B7A" w:rsidRPr="00464976" w:rsidRDefault="00464976" w:rsidP="008145B6">
            <w:pPr>
              <w:spacing w:line="360" w:lineRule="auto"/>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sidRPr="00464976">
              <w:rPr>
                <w:rFonts w:asciiTheme="majorHAnsi" w:hAnsiTheme="majorHAnsi" w:cstheme="majorHAnsi"/>
                <w:sz w:val="24"/>
                <w:szCs w:val="24"/>
              </w:rPr>
              <w:t>Workmanship meets specification and industry standards</w:t>
            </w:r>
          </w:p>
        </w:tc>
        <w:tc>
          <w:tcPr>
            <w:tcW w:w="2880" w:type="dxa"/>
          </w:tcPr>
          <w:p w14:paraId="7F2CB78E" w14:textId="77777777" w:rsidR="00104B7A" w:rsidRPr="00464976" w:rsidRDefault="00464976" w:rsidP="008145B6">
            <w:pPr>
              <w:spacing w:line="360" w:lineRule="auto"/>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sidRPr="00464976">
              <w:rPr>
                <w:rFonts w:asciiTheme="majorHAnsi" w:hAnsiTheme="majorHAnsi" w:cstheme="majorHAnsi"/>
                <w:sz w:val="24"/>
                <w:szCs w:val="24"/>
              </w:rPr>
              <w:t>100% compliance</w:t>
            </w:r>
          </w:p>
        </w:tc>
      </w:tr>
      <w:tr w:rsidR="00104B7A" w:rsidRPr="008145B6" w14:paraId="7829B3F3" w14:textId="77777777" w:rsidTr="00C34855">
        <w:tc>
          <w:tcPr>
            <w:cnfStyle w:val="001000000000" w:firstRow="0" w:lastRow="0" w:firstColumn="1" w:lastColumn="0" w:oddVBand="0" w:evenVBand="0" w:oddHBand="0" w:evenHBand="0" w:firstRowFirstColumn="0" w:firstRowLastColumn="0" w:lastRowFirstColumn="0" w:lastRowLastColumn="0"/>
            <w:tcW w:w="2880" w:type="dxa"/>
          </w:tcPr>
          <w:p w14:paraId="748A83AD" w14:textId="77777777" w:rsidR="00104B7A" w:rsidRPr="00464976" w:rsidRDefault="00464976" w:rsidP="008145B6">
            <w:pPr>
              <w:spacing w:line="360" w:lineRule="auto"/>
              <w:rPr>
                <w:rFonts w:asciiTheme="majorHAnsi" w:hAnsiTheme="majorHAnsi" w:cstheme="majorHAnsi"/>
                <w:sz w:val="24"/>
                <w:szCs w:val="24"/>
              </w:rPr>
            </w:pPr>
            <w:r w:rsidRPr="00464976">
              <w:rPr>
                <w:rFonts w:asciiTheme="majorHAnsi" w:hAnsiTheme="majorHAnsi" w:cstheme="majorHAnsi"/>
                <w:sz w:val="24"/>
                <w:szCs w:val="24"/>
              </w:rPr>
              <w:t>Timeline Adherence</w:t>
            </w:r>
          </w:p>
        </w:tc>
        <w:tc>
          <w:tcPr>
            <w:tcW w:w="2880" w:type="dxa"/>
          </w:tcPr>
          <w:p w14:paraId="00EA840E" w14:textId="77777777" w:rsidR="00104B7A" w:rsidRPr="00464976" w:rsidRDefault="00464976" w:rsidP="008145B6">
            <w:pPr>
              <w:spacing w:line="360" w:lineRule="auto"/>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sidRPr="00464976">
              <w:rPr>
                <w:rFonts w:asciiTheme="majorHAnsi" w:hAnsiTheme="majorHAnsi" w:cstheme="majorHAnsi"/>
                <w:sz w:val="24"/>
                <w:szCs w:val="24"/>
              </w:rPr>
              <w:t>Delivery milestones met as per agreed schedule</w:t>
            </w:r>
          </w:p>
        </w:tc>
        <w:tc>
          <w:tcPr>
            <w:tcW w:w="2880" w:type="dxa"/>
          </w:tcPr>
          <w:p w14:paraId="3FD8B878" w14:textId="77777777" w:rsidR="00104B7A" w:rsidRPr="00464976" w:rsidRDefault="00464976" w:rsidP="008145B6">
            <w:pPr>
              <w:spacing w:line="360" w:lineRule="auto"/>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sidRPr="00464976">
              <w:rPr>
                <w:rFonts w:asciiTheme="majorHAnsi" w:hAnsiTheme="majorHAnsi" w:cstheme="majorHAnsi"/>
                <w:sz w:val="24"/>
                <w:szCs w:val="24"/>
              </w:rPr>
              <w:t>No more than 5 working days delay</w:t>
            </w:r>
          </w:p>
        </w:tc>
      </w:tr>
      <w:tr w:rsidR="00104B7A" w:rsidRPr="008145B6" w14:paraId="62576319" w14:textId="77777777" w:rsidTr="00C348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72E96D35" w14:textId="77777777" w:rsidR="00104B7A" w:rsidRPr="00464976" w:rsidRDefault="00464976" w:rsidP="008145B6">
            <w:pPr>
              <w:spacing w:line="360" w:lineRule="auto"/>
              <w:rPr>
                <w:rFonts w:asciiTheme="majorHAnsi" w:hAnsiTheme="majorHAnsi" w:cstheme="majorHAnsi"/>
                <w:sz w:val="24"/>
                <w:szCs w:val="24"/>
              </w:rPr>
            </w:pPr>
            <w:r w:rsidRPr="00464976">
              <w:rPr>
                <w:rFonts w:asciiTheme="majorHAnsi" w:hAnsiTheme="majorHAnsi" w:cstheme="majorHAnsi"/>
                <w:sz w:val="24"/>
                <w:szCs w:val="24"/>
              </w:rPr>
              <w:t>Health &amp; Safety Compliance</w:t>
            </w:r>
          </w:p>
        </w:tc>
        <w:tc>
          <w:tcPr>
            <w:tcW w:w="2880" w:type="dxa"/>
          </w:tcPr>
          <w:p w14:paraId="000F74E2" w14:textId="77777777" w:rsidR="00104B7A" w:rsidRPr="00464976" w:rsidRDefault="00464976" w:rsidP="008145B6">
            <w:pPr>
              <w:spacing w:line="360" w:lineRule="auto"/>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sidRPr="00464976">
              <w:rPr>
                <w:rFonts w:asciiTheme="majorHAnsi" w:hAnsiTheme="majorHAnsi" w:cstheme="majorHAnsi"/>
                <w:sz w:val="24"/>
                <w:szCs w:val="24"/>
              </w:rPr>
              <w:t>Zero reportable incidents and adherence to H&amp;S plan</w:t>
            </w:r>
          </w:p>
        </w:tc>
        <w:tc>
          <w:tcPr>
            <w:tcW w:w="2880" w:type="dxa"/>
          </w:tcPr>
          <w:p w14:paraId="6C03A17F" w14:textId="77777777" w:rsidR="00104B7A" w:rsidRPr="00464976" w:rsidRDefault="00464976" w:rsidP="008145B6">
            <w:pPr>
              <w:spacing w:line="360" w:lineRule="auto"/>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sidRPr="00464976">
              <w:rPr>
                <w:rFonts w:asciiTheme="majorHAnsi" w:hAnsiTheme="majorHAnsi" w:cstheme="majorHAnsi"/>
                <w:sz w:val="24"/>
                <w:szCs w:val="24"/>
              </w:rPr>
              <w:t>100% compliance</w:t>
            </w:r>
          </w:p>
        </w:tc>
      </w:tr>
      <w:tr w:rsidR="00104B7A" w:rsidRPr="008145B6" w14:paraId="2887597B" w14:textId="77777777" w:rsidTr="00C34855">
        <w:tc>
          <w:tcPr>
            <w:cnfStyle w:val="001000000000" w:firstRow="0" w:lastRow="0" w:firstColumn="1" w:lastColumn="0" w:oddVBand="0" w:evenVBand="0" w:oddHBand="0" w:evenHBand="0" w:firstRowFirstColumn="0" w:firstRowLastColumn="0" w:lastRowFirstColumn="0" w:lastRowLastColumn="0"/>
            <w:tcW w:w="2880" w:type="dxa"/>
          </w:tcPr>
          <w:p w14:paraId="4D81952A" w14:textId="77777777" w:rsidR="00104B7A" w:rsidRPr="00464976" w:rsidRDefault="00464976" w:rsidP="008145B6">
            <w:pPr>
              <w:spacing w:line="360" w:lineRule="auto"/>
              <w:rPr>
                <w:rFonts w:asciiTheme="majorHAnsi" w:hAnsiTheme="majorHAnsi" w:cstheme="majorHAnsi"/>
                <w:sz w:val="24"/>
                <w:szCs w:val="24"/>
              </w:rPr>
            </w:pPr>
            <w:r w:rsidRPr="00464976">
              <w:rPr>
                <w:rFonts w:asciiTheme="majorHAnsi" w:hAnsiTheme="majorHAnsi" w:cstheme="majorHAnsi"/>
                <w:sz w:val="24"/>
                <w:szCs w:val="24"/>
              </w:rPr>
              <w:t>Documentation Accuracy</w:t>
            </w:r>
          </w:p>
        </w:tc>
        <w:tc>
          <w:tcPr>
            <w:tcW w:w="2880" w:type="dxa"/>
          </w:tcPr>
          <w:p w14:paraId="7F44595A" w14:textId="77777777" w:rsidR="00104B7A" w:rsidRPr="00464976" w:rsidRDefault="00464976" w:rsidP="008145B6">
            <w:pPr>
              <w:spacing w:line="360" w:lineRule="auto"/>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sidRPr="00464976">
              <w:rPr>
                <w:rFonts w:asciiTheme="majorHAnsi" w:hAnsiTheme="majorHAnsi" w:cstheme="majorHAnsi"/>
                <w:sz w:val="24"/>
                <w:szCs w:val="24"/>
              </w:rPr>
              <w:t>Submission of commissioning, warranty, and handover documents</w:t>
            </w:r>
          </w:p>
        </w:tc>
        <w:tc>
          <w:tcPr>
            <w:tcW w:w="2880" w:type="dxa"/>
          </w:tcPr>
          <w:p w14:paraId="7C24BD84" w14:textId="77777777" w:rsidR="00104B7A" w:rsidRPr="00464976" w:rsidRDefault="00464976" w:rsidP="008145B6">
            <w:pPr>
              <w:spacing w:line="360" w:lineRule="auto"/>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sidRPr="00464976">
              <w:rPr>
                <w:rFonts w:asciiTheme="majorHAnsi" w:hAnsiTheme="majorHAnsi" w:cstheme="majorHAnsi"/>
                <w:sz w:val="24"/>
                <w:szCs w:val="24"/>
              </w:rPr>
              <w:t>All documents submitted on time</w:t>
            </w:r>
          </w:p>
        </w:tc>
      </w:tr>
      <w:tr w:rsidR="00104B7A" w:rsidRPr="008145B6" w14:paraId="0336FFB3" w14:textId="77777777" w:rsidTr="00C348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80" w:type="dxa"/>
          </w:tcPr>
          <w:p w14:paraId="6B808625" w14:textId="77777777" w:rsidR="00104B7A" w:rsidRPr="00464976" w:rsidRDefault="00464976" w:rsidP="008145B6">
            <w:pPr>
              <w:spacing w:line="360" w:lineRule="auto"/>
              <w:rPr>
                <w:rFonts w:asciiTheme="majorHAnsi" w:hAnsiTheme="majorHAnsi" w:cstheme="majorHAnsi"/>
                <w:sz w:val="24"/>
                <w:szCs w:val="24"/>
              </w:rPr>
            </w:pPr>
            <w:r w:rsidRPr="00464976">
              <w:rPr>
                <w:rFonts w:asciiTheme="majorHAnsi" w:hAnsiTheme="majorHAnsi" w:cstheme="majorHAnsi"/>
                <w:sz w:val="24"/>
                <w:szCs w:val="24"/>
              </w:rPr>
              <w:t>Environmental Responsibility</w:t>
            </w:r>
          </w:p>
        </w:tc>
        <w:tc>
          <w:tcPr>
            <w:tcW w:w="2880" w:type="dxa"/>
          </w:tcPr>
          <w:p w14:paraId="3CA717B4" w14:textId="77777777" w:rsidR="00104B7A" w:rsidRPr="00464976" w:rsidRDefault="00464976" w:rsidP="008145B6">
            <w:pPr>
              <w:spacing w:line="360" w:lineRule="auto"/>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sidRPr="00464976">
              <w:rPr>
                <w:rFonts w:asciiTheme="majorHAnsi" w:hAnsiTheme="majorHAnsi" w:cstheme="majorHAnsi"/>
                <w:sz w:val="24"/>
                <w:szCs w:val="24"/>
              </w:rPr>
              <w:t>Waste management and sustainable practices</w:t>
            </w:r>
          </w:p>
        </w:tc>
        <w:tc>
          <w:tcPr>
            <w:tcW w:w="2880" w:type="dxa"/>
          </w:tcPr>
          <w:p w14:paraId="71451B58" w14:textId="77777777" w:rsidR="00104B7A" w:rsidRPr="00464976" w:rsidRDefault="00464976" w:rsidP="008145B6">
            <w:pPr>
              <w:spacing w:line="360" w:lineRule="auto"/>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sidRPr="00464976">
              <w:rPr>
                <w:rFonts w:asciiTheme="majorHAnsi" w:hAnsiTheme="majorHAnsi" w:cstheme="majorHAnsi"/>
                <w:sz w:val="24"/>
                <w:szCs w:val="24"/>
              </w:rPr>
              <w:t>Evidence of recycling and low-carbon methods</w:t>
            </w:r>
          </w:p>
        </w:tc>
      </w:tr>
      <w:tr w:rsidR="00104B7A" w:rsidRPr="008145B6" w14:paraId="34D931C7" w14:textId="77777777" w:rsidTr="00C34855">
        <w:tc>
          <w:tcPr>
            <w:cnfStyle w:val="001000000000" w:firstRow="0" w:lastRow="0" w:firstColumn="1" w:lastColumn="0" w:oddVBand="0" w:evenVBand="0" w:oddHBand="0" w:evenHBand="0" w:firstRowFirstColumn="0" w:firstRowLastColumn="0" w:lastRowFirstColumn="0" w:lastRowLastColumn="0"/>
            <w:tcW w:w="2880" w:type="dxa"/>
          </w:tcPr>
          <w:p w14:paraId="6FFC2BE6" w14:textId="77777777" w:rsidR="00104B7A" w:rsidRPr="00464976" w:rsidRDefault="00464976" w:rsidP="008145B6">
            <w:pPr>
              <w:spacing w:line="360" w:lineRule="auto"/>
              <w:rPr>
                <w:rFonts w:asciiTheme="majorHAnsi" w:hAnsiTheme="majorHAnsi" w:cstheme="majorHAnsi"/>
                <w:sz w:val="24"/>
                <w:szCs w:val="24"/>
              </w:rPr>
            </w:pPr>
            <w:r w:rsidRPr="00464976">
              <w:rPr>
                <w:rFonts w:asciiTheme="majorHAnsi" w:hAnsiTheme="majorHAnsi" w:cstheme="majorHAnsi"/>
                <w:sz w:val="24"/>
                <w:szCs w:val="24"/>
              </w:rPr>
              <w:t>Client Satisfaction</w:t>
            </w:r>
          </w:p>
        </w:tc>
        <w:tc>
          <w:tcPr>
            <w:tcW w:w="2880" w:type="dxa"/>
          </w:tcPr>
          <w:p w14:paraId="382D0766" w14:textId="77777777" w:rsidR="00104B7A" w:rsidRPr="00464976" w:rsidRDefault="00464976" w:rsidP="008145B6">
            <w:pPr>
              <w:spacing w:line="360" w:lineRule="auto"/>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sidRPr="00464976">
              <w:rPr>
                <w:rFonts w:asciiTheme="majorHAnsi" w:hAnsiTheme="majorHAnsi" w:cstheme="majorHAnsi"/>
                <w:sz w:val="24"/>
                <w:szCs w:val="24"/>
              </w:rPr>
              <w:t>Feedback from client on communication and delivery</w:t>
            </w:r>
          </w:p>
        </w:tc>
        <w:tc>
          <w:tcPr>
            <w:tcW w:w="2880" w:type="dxa"/>
          </w:tcPr>
          <w:p w14:paraId="3281B3BD" w14:textId="77777777" w:rsidR="00104B7A" w:rsidRPr="00464976" w:rsidRDefault="00464976" w:rsidP="008145B6">
            <w:pPr>
              <w:spacing w:line="360" w:lineRule="auto"/>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sidRPr="00464976">
              <w:rPr>
                <w:rFonts w:asciiTheme="majorHAnsi" w:hAnsiTheme="majorHAnsi" w:cstheme="majorHAnsi"/>
                <w:sz w:val="24"/>
                <w:szCs w:val="24"/>
              </w:rPr>
              <w:t>Minimum 85% satisfaction score</w:t>
            </w:r>
          </w:p>
        </w:tc>
      </w:tr>
    </w:tbl>
    <w:p w14:paraId="0B576A26" w14:textId="77777777" w:rsidR="00104B7A" w:rsidRPr="008145B6" w:rsidRDefault="00464976" w:rsidP="008145B6">
      <w:pPr>
        <w:pStyle w:val="Heading2"/>
        <w:spacing w:line="360" w:lineRule="auto"/>
        <w:rPr>
          <w:rFonts w:cstheme="majorHAnsi"/>
        </w:rPr>
      </w:pPr>
      <w:r w:rsidRPr="008145B6">
        <w:rPr>
          <w:rFonts w:cstheme="majorHAnsi"/>
        </w:rPr>
        <w:lastRenderedPageBreak/>
        <w:t>3. Reporting Frequency</w:t>
      </w:r>
    </w:p>
    <w:p w14:paraId="338FF8E4" w14:textId="5AE76B8B" w:rsidR="00104B7A" w:rsidRPr="00C7352F" w:rsidRDefault="00464976" w:rsidP="008145B6">
      <w:pPr>
        <w:spacing w:line="360" w:lineRule="auto"/>
        <w:rPr>
          <w:rFonts w:asciiTheme="majorHAnsi" w:hAnsiTheme="majorHAnsi" w:cstheme="majorHAnsi"/>
          <w:sz w:val="24"/>
          <w:szCs w:val="24"/>
        </w:rPr>
      </w:pPr>
      <w:r w:rsidRPr="00C7352F">
        <w:rPr>
          <w:rFonts w:asciiTheme="majorHAnsi" w:hAnsiTheme="majorHAnsi" w:cstheme="majorHAnsi"/>
          <w:sz w:val="24"/>
          <w:szCs w:val="24"/>
        </w:rPr>
        <w:t xml:space="preserve">The contractor shall submit KPI reports every </w:t>
      </w:r>
      <w:r w:rsidR="00BF44BF" w:rsidRPr="00C7352F">
        <w:rPr>
          <w:rFonts w:asciiTheme="majorHAnsi" w:hAnsiTheme="majorHAnsi" w:cstheme="majorHAnsi"/>
          <w:sz w:val="24"/>
          <w:szCs w:val="24"/>
        </w:rPr>
        <w:t>Week</w:t>
      </w:r>
      <w:r w:rsidRPr="00C7352F">
        <w:rPr>
          <w:rFonts w:asciiTheme="majorHAnsi" w:hAnsiTheme="majorHAnsi" w:cstheme="majorHAnsi"/>
          <w:sz w:val="24"/>
          <w:szCs w:val="24"/>
        </w:rPr>
        <w:t xml:space="preserve"> during the contract period. Reports must include progress updates, issues encountered, and evidence of compliance with the above indicators.</w:t>
      </w:r>
    </w:p>
    <w:p w14:paraId="354C0870" w14:textId="77777777" w:rsidR="00104B7A" w:rsidRPr="008145B6" w:rsidRDefault="00464976" w:rsidP="008145B6">
      <w:pPr>
        <w:pStyle w:val="Heading2"/>
        <w:spacing w:line="360" w:lineRule="auto"/>
        <w:rPr>
          <w:rFonts w:cstheme="majorHAnsi"/>
        </w:rPr>
      </w:pPr>
      <w:r w:rsidRPr="008145B6">
        <w:rPr>
          <w:rFonts w:cstheme="majorHAnsi"/>
        </w:rPr>
        <w:t>4. Review Meetings</w:t>
      </w:r>
    </w:p>
    <w:p w14:paraId="40EC80B6" w14:textId="376C35E1" w:rsidR="00104B7A" w:rsidRPr="00C7352F" w:rsidRDefault="00BF44BF" w:rsidP="008145B6">
      <w:pPr>
        <w:spacing w:line="360" w:lineRule="auto"/>
        <w:rPr>
          <w:rFonts w:asciiTheme="majorHAnsi" w:hAnsiTheme="majorHAnsi" w:cstheme="majorHAnsi"/>
          <w:sz w:val="24"/>
          <w:szCs w:val="24"/>
        </w:rPr>
      </w:pPr>
      <w:r w:rsidRPr="00C7352F">
        <w:rPr>
          <w:rFonts w:asciiTheme="majorHAnsi" w:hAnsiTheme="majorHAnsi" w:cstheme="majorHAnsi"/>
          <w:sz w:val="24"/>
          <w:szCs w:val="24"/>
        </w:rPr>
        <w:t>Weekly</w:t>
      </w:r>
      <w:r w:rsidR="00464976" w:rsidRPr="00C7352F">
        <w:rPr>
          <w:rFonts w:asciiTheme="majorHAnsi" w:hAnsiTheme="majorHAnsi" w:cstheme="majorHAnsi"/>
          <w:sz w:val="24"/>
          <w:szCs w:val="24"/>
        </w:rPr>
        <w:t xml:space="preserve"> review meetings will be held between the Client and the Contractor to assess KPI performance, discuss progress, and agree on any corrective actions required.</w:t>
      </w:r>
    </w:p>
    <w:p w14:paraId="4C129FA8" w14:textId="77777777" w:rsidR="00104B7A" w:rsidRPr="00C7352F" w:rsidRDefault="00464976" w:rsidP="008145B6">
      <w:pPr>
        <w:pStyle w:val="Heading2"/>
        <w:spacing w:line="360" w:lineRule="auto"/>
        <w:rPr>
          <w:rFonts w:cstheme="majorHAnsi"/>
          <w:sz w:val="28"/>
          <w:szCs w:val="28"/>
        </w:rPr>
      </w:pPr>
      <w:r w:rsidRPr="00C7352F">
        <w:rPr>
          <w:rFonts w:cstheme="majorHAnsi"/>
          <w:sz w:val="28"/>
          <w:szCs w:val="28"/>
        </w:rPr>
        <w:t>5. Non-Compliance Consequences</w:t>
      </w:r>
    </w:p>
    <w:p w14:paraId="0183CC32" w14:textId="77777777" w:rsidR="00104B7A" w:rsidRPr="00C7352F" w:rsidRDefault="00464976" w:rsidP="008145B6">
      <w:pPr>
        <w:spacing w:line="360" w:lineRule="auto"/>
        <w:rPr>
          <w:rFonts w:asciiTheme="majorHAnsi" w:hAnsiTheme="majorHAnsi" w:cstheme="majorHAnsi"/>
          <w:sz w:val="24"/>
          <w:szCs w:val="24"/>
        </w:rPr>
      </w:pPr>
      <w:r w:rsidRPr="00C7352F">
        <w:rPr>
          <w:rFonts w:asciiTheme="majorHAnsi" w:hAnsiTheme="majorHAnsi" w:cstheme="majorHAnsi"/>
          <w:sz w:val="24"/>
          <w:szCs w:val="24"/>
        </w:rPr>
        <w:t>Failure to meet KPI targets may result in formal warnings, retention of payments, or termination of contract depending on severity and recurrence. The Client reserves the right to enforce penalties for repeated non-compliance.</w:t>
      </w:r>
    </w:p>
    <w:p w14:paraId="383D5DAD" w14:textId="77777777" w:rsidR="00104B7A" w:rsidRPr="00C7352F" w:rsidRDefault="00464976" w:rsidP="008145B6">
      <w:pPr>
        <w:pStyle w:val="Heading2"/>
        <w:spacing w:line="360" w:lineRule="auto"/>
        <w:rPr>
          <w:rFonts w:cstheme="majorHAnsi"/>
          <w:sz w:val="28"/>
          <w:szCs w:val="28"/>
        </w:rPr>
      </w:pPr>
      <w:r w:rsidRPr="00C7352F">
        <w:rPr>
          <w:rFonts w:cstheme="majorHAnsi"/>
          <w:sz w:val="28"/>
          <w:szCs w:val="28"/>
        </w:rPr>
        <w:t>6. Conclusion</w:t>
      </w:r>
    </w:p>
    <w:p w14:paraId="253F8294" w14:textId="77777777" w:rsidR="00104B7A" w:rsidRPr="00C7352F" w:rsidRDefault="00464976" w:rsidP="008145B6">
      <w:pPr>
        <w:spacing w:line="360" w:lineRule="auto"/>
        <w:rPr>
          <w:rFonts w:asciiTheme="majorHAnsi" w:hAnsiTheme="majorHAnsi" w:cstheme="majorHAnsi"/>
          <w:sz w:val="24"/>
          <w:szCs w:val="24"/>
        </w:rPr>
      </w:pPr>
      <w:r w:rsidRPr="00C7352F">
        <w:rPr>
          <w:rFonts w:asciiTheme="majorHAnsi" w:hAnsiTheme="majorHAnsi" w:cstheme="majorHAnsi"/>
          <w:sz w:val="24"/>
          <w:szCs w:val="24"/>
        </w:rPr>
        <w:t>This KPI framework forms part of the contractual obligations and will be used to ensure successful delivery of the renewable energy upgrade project. The contractor is expected to maintain high standards and cooperate fully with monitoring procedures.</w:t>
      </w:r>
    </w:p>
    <w:sectPr w:rsidR="00104B7A" w:rsidRPr="00C7352F"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14836908">
    <w:abstractNumId w:val="8"/>
  </w:num>
  <w:num w:numId="2" w16cid:durableId="1542090619">
    <w:abstractNumId w:val="6"/>
  </w:num>
  <w:num w:numId="3" w16cid:durableId="217716503">
    <w:abstractNumId w:val="5"/>
  </w:num>
  <w:num w:numId="4" w16cid:durableId="1824155017">
    <w:abstractNumId w:val="4"/>
  </w:num>
  <w:num w:numId="5" w16cid:durableId="1186364123">
    <w:abstractNumId w:val="7"/>
  </w:num>
  <w:num w:numId="6" w16cid:durableId="393703689">
    <w:abstractNumId w:val="3"/>
  </w:num>
  <w:num w:numId="7" w16cid:durableId="1005404477">
    <w:abstractNumId w:val="2"/>
  </w:num>
  <w:num w:numId="8" w16cid:durableId="1344697921">
    <w:abstractNumId w:val="1"/>
  </w:num>
  <w:num w:numId="9" w16cid:durableId="17758582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004D"/>
    <w:rsid w:val="00034616"/>
    <w:rsid w:val="0006063C"/>
    <w:rsid w:val="000D1404"/>
    <w:rsid w:val="00104B7A"/>
    <w:rsid w:val="0015074B"/>
    <w:rsid w:val="0029639D"/>
    <w:rsid w:val="00303FF6"/>
    <w:rsid w:val="00326F90"/>
    <w:rsid w:val="00464976"/>
    <w:rsid w:val="008145B6"/>
    <w:rsid w:val="00AA1D8D"/>
    <w:rsid w:val="00B47730"/>
    <w:rsid w:val="00BF44BF"/>
    <w:rsid w:val="00C34855"/>
    <w:rsid w:val="00C7352F"/>
    <w:rsid w:val="00CB0664"/>
    <w:rsid w:val="00EB633F"/>
    <w:rsid w:val="00F664EB"/>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062061"/>
  <w14:defaultImageDpi w14:val="300"/>
  <w15:docId w15:val="{B8F1BAB7-77B8-4553-9FEE-A100151AF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dTable4">
    <w:name w:val="Grid Table 4"/>
    <w:basedOn w:val="TableNormal"/>
    <w:uiPriority w:val="49"/>
    <w:rsid w:val="00C34855"/>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Metadata/LabelInfo.xml><?xml version="1.0" encoding="utf-8"?>
<clbl:labelList xmlns:clbl="http://schemas.microsoft.com/office/2020/mipLabelMetadata">
  <clbl:label id="{4c2e0b76-d452-4d35-8392-187fac002efe}" enabled="0" method="" siteId="{4c2e0b76-d452-4d35-8392-187fac002efe}" removed="1"/>
</clbl:labelList>
</file>

<file path=docProps/app.xml><?xml version="1.0" encoding="utf-8"?>
<Properties xmlns="http://schemas.openxmlformats.org/officeDocument/2006/extended-properties" xmlns:vt="http://schemas.openxmlformats.org/officeDocument/2006/docPropsVTypes">
  <Template>Normal</Template>
  <TotalTime>0</TotalTime>
  <Pages>2</Pages>
  <Words>289</Words>
  <Characters>1763</Characters>
  <Application>Microsoft Office Word</Application>
  <DocSecurity>0</DocSecurity>
  <Lines>56</Lines>
  <Paragraphs>35</Paragraphs>
  <ScaleCrop>false</ScaleCrop>
  <HeadingPairs>
    <vt:vector size="2" baseType="variant">
      <vt:variant>
        <vt:lpstr>Title</vt:lpstr>
      </vt:variant>
      <vt:variant>
        <vt:i4>1</vt:i4>
      </vt:variant>
    </vt:vector>
  </HeadingPairs>
  <TitlesOfParts>
    <vt:vector size="1" baseType="lpstr">
      <vt:lpstr/>
    </vt:vector>
  </TitlesOfParts>
  <Manager>nasir</Manager>
  <Company/>
  <LinksUpToDate>false</LinksUpToDate>
  <CharactersWithSpaces>2017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nasir.shahzad</dc:creator>
  <cp:keywords/>
  <dc:description>generated by python-docx</dc:description>
  <cp:lastModifiedBy>F.Shah</cp:lastModifiedBy>
  <cp:revision>2</cp:revision>
  <dcterms:created xsi:type="dcterms:W3CDTF">2025-10-16T15:35:00Z</dcterms:created>
  <dcterms:modified xsi:type="dcterms:W3CDTF">2025-10-16T15:35:00Z</dcterms:modified>
  <cp:category/>
</cp:coreProperties>
</file>