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D8CBD" w14:textId="77777777" w:rsidR="006106E9" w:rsidRPr="00E87FBA" w:rsidRDefault="00D85A5D" w:rsidP="00E87FBA">
      <w:pPr>
        <w:pStyle w:val="Heading1"/>
        <w:spacing w:line="360" w:lineRule="auto"/>
        <w:jc w:val="center"/>
        <w:rPr>
          <w:rFonts w:cstheme="majorHAnsi"/>
          <w:sz w:val="32"/>
          <w:szCs w:val="32"/>
        </w:rPr>
      </w:pPr>
      <w:r w:rsidRPr="00E87FBA">
        <w:rPr>
          <w:rFonts w:cstheme="majorHAnsi"/>
          <w:sz w:val="32"/>
          <w:szCs w:val="32"/>
        </w:rPr>
        <w:t>Call-off Procedure</w:t>
      </w:r>
    </w:p>
    <w:p w14:paraId="2DFD085A" w14:textId="0F030BFB" w:rsidR="006106E9" w:rsidRPr="00392E9A" w:rsidRDefault="00D85A5D" w:rsidP="0092272B">
      <w:pPr>
        <w:spacing w:line="360" w:lineRule="auto"/>
        <w:rPr>
          <w:rFonts w:asciiTheme="majorHAnsi" w:hAnsiTheme="majorHAnsi" w:cstheme="majorHAnsi"/>
          <w:sz w:val="24"/>
          <w:szCs w:val="24"/>
        </w:rPr>
      </w:pPr>
      <w:r w:rsidRPr="00392E9A">
        <w:rPr>
          <w:rFonts w:asciiTheme="majorHAnsi" w:hAnsiTheme="majorHAnsi" w:cstheme="majorHAnsi"/>
          <w:sz w:val="24"/>
          <w:szCs w:val="24"/>
        </w:rPr>
        <w:t xml:space="preserve">This document outlines the Call-off Procedure for the Sketty Mosque and Community Centre </w:t>
      </w:r>
      <w:r w:rsidR="00E87FBA">
        <w:rPr>
          <w:rFonts w:asciiTheme="majorHAnsi" w:hAnsiTheme="majorHAnsi" w:cstheme="majorHAnsi"/>
          <w:sz w:val="24"/>
          <w:szCs w:val="24"/>
        </w:rPr>
        <w:t xml:space="preserve">renewable energy upgrade </w:t>
      </w:r>
      <w:r w:rsidRPr="00392E9A">
        <w:rPr>
          <w:rFonts w:asciiTheme="majorHAnsi" w:hAnsiTheme="majorHAnsi" w:cstheme="majorHAnsi"/>
          <w:sz w:val="24"/>
          <w:szCs w:val="24"/>
        </w:rPr>
        <w:t>tender. It defines the process for selecting the single supplier, issuing the contract, managing variations, and handling any future procurement needs under the same framework.</w:t>
      </w:r>
    </w:p>
    <w:p w14:paraId="5F36286E" w14:textId="77777777" w:rsidR="006106E9" w:rsidRPr="0092272B" w:rsidRDefault="00D85A5D" w:rsidP="0092272B">
      <w:pPr>
        <w:pStyle w:val="Heading2"/>
        <w:spacing w:line="360" w:lineRule="auto"/>
        <w:rPr>
          <w:rFonts w:cstheme="majorHAnsi"/>
        </w:rPr>
      </w:pPr>
      <w:r w:rsidRPr="0092272B">
        <w:rPr>
          <w:rFonts w:cstheme="majorHAnsi"/>
        </w:rPr>
        <w:t>1. Supplier Engagement</w:t>
      </w:r>
    </w:p>
    <w:p w14:paraId="3BB9E598" w14:textId="7B218F21" w:rsidR="006106E9" w:rsidRPr="00392E9A" w:rsidRDefault="00D85A5D" w:rsidP="0092272B">
      <w:pPr>
        <w:spacing w:line="360" w:lineRule="auto"/>
        <w:rPr>
          <w:rFonts w:asciiTheme="majorHAnsi" w:hAnsiTheme="majorHAnsi" w:cstheme="majorHAnsi"/>
          <w:sz w:val="24"/>
          <w:szCs w:val="24"/>
        </w:rPr>
      </w:pPr>
      <w:r w:rsidRPr="00392E9A">
        <w:rPr>
          <w:rFonts w:asciiTheme="majorHAnsi" w:hAnsiTheme="majorHAnsi" w:cstheme="majorHAnsi"/>
          <w:sz w:val="24"/>
          <w:szCs w:val="24"/>
        </w:rPr>
        <w:t xml:space="preserve">Following the evaluation of submitted tenders, one supplier will be selected based on the criteria outlined in the Invitation to Tender (ITT). The evaluation panel will consist of representatives from the </w:t>
      </w:r>
      <w:r w:rsidR="006913D3" w:rsidRPr="00392E9A">
        <w:rPr>
          <w:rFonts w:asciiTheme="majorHAnsi" w:hAnsiTheme="majorHAnsi" w:cstheme="majorHAnsi"/>
          <w:sz w:val="24"/>
          <w:szCs w:val="24"/>
        </w:rPr>
        <w:t>Welsh Islamic Cultural Association Swansea (WICAS)</w:t>
      </w:r>
      <w:r w:rsidRPr="00392E9A">
        <w:rPr>
          <w:rFonts w:asciiTheme="majorHAnsi" w:hAnsiTheme="majorHAnsi" w:cstheme="majorHAnsi"/>
          <w:sz w:val="24"/>
          <w:szCs w:val="24"/>
        </w:rPr>
        <w:t>. Once a decision is made, the selected supplier will be formally notified via email and issued a Letter of Award confirming the contract. The supplier must acknowledge receipt and acceptance of the award within five working days.</w:t>
      </w:r>
    </w:p>
    <w:p w14:paraId="65A9C5B1" w14:textId="77777777" w:rsidR="006106E9" w:rsidRPr="0092272B" w:rsidRDefault="00D85A5D" w:rsidP="0092272B">
      <w:pPr>
        <w:pStyle w:val="Heading2"/>
        <w:spacing w:line="360" w:lineRule="auto"/>
        <w:rPr>
          <w:rFonts w:cstheme="majorHAnsi"/>
        </w:rPr>
      </w:pPr>
      <w:r w:rsidRPr="0092272B">
        <w:rPr>
          <w:rFonts w:cstheme="majorHAnsi"/>
        </w:rPr>
        <w:t>2. Order Placement</w:t>
      </w:r>
    </w:p>
    <w:p w14:paraId="3D121076" w14:textId="77777777" w:rsidR="006106E9" w:rsidRPr="00F247DB" w:rsidRDefault="00D85A5D" w:rsidP="0092272B">
      <w:pPr>
        <w:spacing w:line="360" w:lineRule="auto"/>
        <w:rPr>
          <w:rFonts w:asciiTheme="majorHAnsi" w:hAnsiTheme="majorHAnsi" w:cstheme="majorHAnsi"/>
          <w:sz w:val="24"/>
          <w:szCs w:val="24"/>
        </w:rPr>
      </w:pPr>
      <w:r w:rsidRPr="00F247DB">
        <w:rPr>
          <w:rFonts w:asciiTheme="majorHAnsi" w:hAnsiTheme="majorHAnsi" w:cstheme="majorHAnsi"/>
          <w:sz w:val="24"/>
          <w:szCs w:val="24"/>
        </w:rPr>
        <w:t>Upon acceptance of the award, the supplier will receive a formal Purchase Order (PO) from the Client. The PO will detail the scope of works, agreed timeline, payment terms, and any specific deliverables. The PO will serve as the contractual basis for the supply and fit of the renewable energy systems. The supplier must confirm the start date and mobilise resources within ten working days of PO issuance.</w:t>
      </w:r>
    </w:p>
    <w:p w14:paraId="790E4DB0" w14:textId="77777777" w:rsidR="006106E9" w:rsidRPr="0092272B" w:rsidRDefault="00D85A5D" w:rsidP="0092272B">
      <w:pPr>
        <w:pStyle w:val="Heading2"/>
        <w:spacing w:line="360" w:lineRule="auto"/>
        <w:rPr>
          <w:rFonts w:cstheme="majorHAnsi"/>
        </w:rPr>
      </w:pPr>
      <w:r w:rsidRPr="0092272B">
        <w:rPr>
          <w:rFonts w:cstheme="majorHAnsi"/>
        </w:rPr>
        <w:t>3. Performance Monitoring</w:t>
      </w:r>
    </w:p>
    <w:p w14:paraId="34C75C70" w14:textId="77777777" w:rsidR="006106E9" w:rsidRPr="00987F42" w:rsidRDefault="00D85A5D" w:rsidP="0092272B">
      <w:pPr>
        <w:spacing w:line="360" w:lineRule="auto"/>
        <w:rPr>
          <w:rFonts w:asciiTheme="majorHAnsi" w:hAnsiTheme="majorHAnsi" w:cstheme="majorHAnsi"/>
          <w:sz w:val="24"/>
          <w:szCs w:val="24"/>
        </w:rPr>
      </w:pPr>
      <w:r w:rsidRPr="00987F42">
        <w:rPr>
          <w:rFonts w:asciiTheme="majorHAnsi" w:hAnsiTheme="majorHAnsi" w:cstheme="majorHAnsi"/>
          <w:sz w:val="24"/>
          <w:szCs w:val="24"/>
        </w:rPr>
        <w:t>The Client will monitor the supplier’s performance throughout the six-month contract duration. Key performance indicators (KPIs) include adherence to the project timeline, quality of workmanship, compliance with technical specifications, and health &amp; safety standards. Regular site inspections will be conducted bi-weekly, and progress meetings will be held monthly. The supplier must submit progress reports and respond to any corrective actions within five working days.</w:t>
      </w:r>
    </w:p>
    <w:p w14:paraId="5F320622" w14:textId="77777777" w:rsidR="006106E9" w:rsidRPr="0092272B" w:rsidRDefault="00D85A5D" w:rsidP="0092272B">
      <w:pPr>
        <w:pStyle w:val="Heading2"/>
        <w:spacing w:line="360" w:lineRule="auto"/>
        <w:rPr>
          <w:rFonts w:cstheme="majorHAnsi"/>
        </w:rPr>
      </w:pPr>
      <w:r w:rsidRPr="0092272B">
        <w:rPr>
          <w:rFonts w:cstheme="majorHAnsi"/>
        </w:rPr>
        <w:lastRenderedPageBreak/>
        <w:t>4. Managing Variations</w:t>
      </w:r>
    </w:p>
    <w:p w14:paraId="1D223134" w14:textId="77777777" w:rsidR="006106E9" w:rsidRPr="00117FB6" w:rsidRDefault="00D85A5D" w:rsidP="0092272B">
      <w:pPr>
        <w:spacing w:line="360" w:lineRule="auto"/>
        <w:rPr>
          <w:rFonts w:asciiTheme="majorHAnsi" w:hAnsiTheme="majorHAnsi" w:cstheme="majorHAnsi"/>
          <w:sz w:val="24"/>
          <w:szCs w:val="24"/>
        </w:rPr>
      </w:pPr>
      <w:r w:rsidRPr="00117FB6">
        <w:rPr>
          <w:rFonts w:asciiTheme="majorHAnsi" w:hAnsiTheme="majorHAnsi" w:cstheme="majorHAnsi"/>
          <w:sz w:val="24"/>
          <w:szCs w:val="24"/>
        </w:rPr>
        <w:t>Any variations to the scope of works must be formally requested in writing by the supplier and submitted to the Client’s project manager. The request must include justification, cost implications, and impact on the timeline. The Client will review and approve or reject the variation within five working days. If approved, a Variation Order will be issued, and the contract will be updated accordingly.</w:t>
      </w:r>
    </w:p>
    <w:p w14:paraId="43C64C1E" w14:textId="77777777" w:rsidR="006106E9" w:rsidRPr="0092272B" w:rsidRDefault="00D85A5D" w:rsidP="0092272B">
      <w:pPr>
        <w:pStyle w:val="Heading2"/>
        <w:spacing w:line="360" w:lineRule="auto"/>
        <w:rPr>
          <w:rFonts w:cstheme="majorHAnsi"/>
        </w:rPr>
      </w:pPr>
      <w:r w:rsidRPr="0092272B">
        <w:rPr>
          <w:rFonts w:cstheme="majorHAnsi"/>
        </w:rPr>
        <w:t>5. Future Procurement Needs</w:t>
      </w:r>
    </w:p>
    <w:p w14:paraId="2962E587" w14:textId="77777777" w:rsidR="006106E9" w:rsidRPr="00117FB6" w:rsidRDefault="00D85A5D" w:rsidP="0092272B">
      <w:pPr>
        <w:spacing w:line="360" w:lineRule="auto"/>
        <w:rPr>
          <w:rFonts w:asciiTheme="majorHAnsi" w:hAnsiTheme="majorHAnsi" w:cstheme="majorHAnsi"/>
          <w:sz w:val="24"/>
          <w:szCs w:val="24"/>
        </w:rPr>
      </w:pPr>
      <w:r w:rsidRPr="00117FB6">
        <w:rPr>
          <w:rFonts w:asciiTheme="majorHAnsi" w:hAnsiTheme="majorHAnsi" w:cstheme="majorHAnsi"/>
          <w:sz w:val="24"/>
          <w:szCs w:val="24"/>
        </w:rPr>
        <w:t>Should additional works, maintenance services, or upgrades be required under the same framework, the Client reserves the right to engage the selected supplier directly. This will be subject to mutual agreement on scope, pricing, and timeline. A new PO or contract amendment will be issued to formalise the arrangement.</w:t>
      </w:r>
    </w:p>
    <w:p w14:paraId="520C4296" w14:textId="77777777" w:rsidR="006106E9" w:rsidRPr="0092272B" w:rsidRDefault="00D85A5D" w:rsidP="0092272B">
      <w:pPr>
        <w:pStyle w:val="Heading2"/>
        <w:spacing w:line="360" w:lineRule="auto"/>
        <w:rPr>
          <w:rFonts w:cstheme="majorHAnsi"/>
        </w:rPr>
      </w:pPr>
      <w:r w:rsidRPr="0092272B">
        <w:rPr>
          <w:rFonts w:cstheme="majorHAnsi"/>
        </w:rPr>
        <w:t>6. Dispute Resolution</w:t>
      </w:r>
    </w:p>
    <w:p w14:paraId="3B634677" w14:textId="77777777" w:rsidR="006106E9" w:rsidRPr="00EF186E" w:rsidRDefault="00D85A5D" w:rsidP="0092272B">
      <w:pPr>
        <w:spacing w:line="360" w:lineRule="auto"/>
        <w:rPr>
          <w:rFonts w:asciiTheme="majorHAnsi" w:hAnsiTheme="majorHAnsi" w:cstheme="majorHAnsi"/>
          <w:sz w:val="24"/>
          <w:szCs w:val="24"/>
        </w:rPr>
      </w:pPr>
      <w:r w:rsidRPr="00EF186E">
        <w:rPr>
          <w:rFonts w:asciiTheme="majorHAnsi" w:hAnsiTheme="majorHAnsi" w:cstheme="majorHAnsi"/>
          <w:sz w:val="24"/>
          <w:szCs w:val="24"/>
        </w:rPr>
        <w:t>In the event of a dispute, both parties shall first seek to resolve the matter amicably through direct negotiation. If unresolved within ten working days, the dispute shall be referred to mediation facilitated by an independent third party. Should mediation fail, the matter will proceed to arbitration in accordance with UK procurement regulations. The decision of the arbitrator shall be final and binding.</w:t>
      </w:r>
    </w:p>
    <w:sectPr w:rsidR="006106E9" w:rsidRPr="00EF186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75404753">
    <w:abstractNumId w:val="8"/>
  </w:num>
  <w:num w:numId="2" w16cid:durableId="1563908684">
    <w:abstractNumId w:val="6"/>
  </w:num>
  <w:num w:numId="3" w16cid:durableId="626013358">
    <w:abstractNumId w:val="5"/>
  </w:num>
  <w:num w:numId="4" w16cid:durableId="18707839">
    <w:abstractNumId w:val="4"/>
  </w:num>
  <w:num w:numId="5" w16cid:durableId="1857577797">
    <w:abstractNumId w:val="7"/>
  </w:num>
  <w:num w:numId="6" w16cid:durableId="500701476">
    <w:abstractNumId w:val="3"/>
  </w:num>
  <w:num w:numId="7" w16cid:durableId="368729737">
    <w:abstractNumId w:val="2"/>
  </w:num>
  <w:num w:numId="8" w16cid:durableId="903877020">
    <w:abstractNumId w:val="1"/>
  </w:num>
  <w:num w:numId="9" w16cid:durableId="2089427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04D"/>
    <w:rsid w:val="00034616"/>
    <w:rsid w:val="0006063C"/>
    <w:rsid w:val="00117FB6"/>
    <w:rsid w:val="0015074B"/>
    <w:rsid w:val="0029639D"/>
    <w:rsid w:val="00303FF6"/>
    <w:rsid w:val="00326F90"/>
    <w:rsid w:val="00392E9A"/>
    <w:rsid w:val="006106E9"/>
    <w:rsid w:val="006913D3"/>
    <w:rsid w:val="0092272B"/>
    <w:rsid w:val="00987F42"/>
    <w:rsid w:val="00AA1D8D"/>
    <w:rsid w:val="00AF14B3"/>
    <w:rsid w:val="00B47730"/>
    <w:rsid w:val="00CB0664"/>
    <w:rsid w:val="00D85A5D"/>
    <w:rsid w:val="00E87FBA"/>
    <w:rsid w:val="00EF186E"/>
    <w:rsid w:val="00F247D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8F1BAB7-77B8-4553-9FEE-A100151AF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4c2e0b76-d452-4d35-8392-187fac002efe}" enabled="0" method="" siteId="{4c2e0b76-d452-4d35-8392-187fac002efe}"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415</Words>
  <Characters>2533</Characters>
  <Application>Microsoft Office Word</Application>
  <DocSecurity>0</DocSecurity>
  <Lines>81</Lines>
  <Paragraphs>51</Paragraphs>
  <ScaleCrop>false</ScaleCrop>
  <HeadingPairs>
    <vt:vector size="2" baseType="variant">
      <vt:variant>
        <vt:lpstr>Title</vt:lpstr>
      </vt:variant>
      <vt:variant>
        <vt:i4>1</vt:i4>
      </vt:variant>
    </vt:vector>
  </HeadingPairs>
  <TitlesOfParts>
    <vt:vector size="1" baseType="lpstr">
      <vt:lpstr/>
    </vt:vector>
  </TitlesOfParts>
  <Manager>NASIR</Manager>
  <Company/>
  <LinksUpToDate>false</LinksUpToDate>
  <CharactersWithSpaces>2897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nasir.shahzad</dc:creator>
  <cp:keywords/>
  <dc:description>generated by python-docx</dc:description>
  <cp:lastModifiedBy>F.Shah</cp:lastModifiedBy>
  <cp:revision>2</cp:revision>
  <dcterms:created xsi:type="dcterms:W3CDTF">2025-10-16T15:29:00Z</dcterms:created>
  <dcterms:modified xsi:type="dcterms:W3CDTF">2025-10-16T15:29:00Z</dcterms:modified>
  <cp:category/>
</cp:coreProperties>
</file>